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4C" w:rsidRDefault="00DE594C" w:rsidP="00CD6B79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63470D">
        <w:rPr>
          <w:rFonts w:ascii="黑体" w:eastAsia="黑体" w:hAnsi="黑体" w:hint="eastAsia"/>
          <w:sz w:val="36"/>
          <w:szCs w:val="36"/>
        </w:rPr>
        <w:t>武汉大学</w:t>
      </w:r>
      <w:r w:rsidR="00E9096B">
        <w:rPr>
          <w:rFonts w:ascii="黑体" w:eastAsia="黑体" w:hAnsi="黑体" w:hint="eastAsia"/>
          <w:sz w:val="36"/>
          <w:szCs w:val="36"/>
        </w:rPr>
        <w:t>中外联合科研平台</w:t>
      </w:r>
      <w:bookmarkStart w:id="0" w:name="_GoBack"/>
      <w:r w:rsidR="00270A3E">
        <w:rPr>
          <w:rFonts w:ascii="黑体" w:eastAsia="黑体" w:hAnsi="黑体" w:hint="eastAsia"/>
          <w:sz w:val="36"/>
          <w:szCs w:val="36"/>
        </w:rPr>
        <w:t>种子</w:t>
      </w:r>
      <w:bookmarkEnd w:id="0"/>
      <w:r w:rsidR="005602AB">
        <w:rPr>
          <w:rFonts w:ascii="黑体" w:eastAsia="黑体" w:hAnsi="黑体" w:hint="eastAsia"/>
          <w:sz w:val="36"/>
          <w:szCs w:val="36"/>
        </w:rPr>
        <w:t>基金</w:t>
      </w:r>
      <w:r w:rsidR="00CD6B79">
        <w:rPr>
          <w:rFonts w:ascii="黑体" w:eastAsia="黑体" w:hAnsi="黑体" w:hint="eastAsia"/>
          <w:sz w:val="36"/>
          <w:szCs w:val="36"/>
        </w:rPr>
        <w:t>计划</w:t>
      </w:r>
      <w:r w:rsidR="00AE33D4">
        <w:rPr>
          <w:rFonts w:ascii="黑体" w:eastAsia="黑体" w:hAnsi="黑体" w:hint="eastAsia"/>
          <w:sz w:val="36"/>
          <w:szCs w:val="36"/>
        </w:rPr>
        <w:t>实施意见</w:t>
      </w:r>
    </w:p>
    <w:p w:rsidR="00DE594C" w:rsidRPr="0063470D" w:rsidRDefault="00DE594C" w:rsidP="00DE594C">
      <w:pPr>
        <w:pStyle w:val="a7"/>
        <w:widowControl/>
        <w:numPr>
          <w:ilvl w:val="0"/>
          <w:numId w:val="1"/>
        </w:numPr>
        <w:spacing w:line="420" w:lineRule="atLeast"/>
        <w:ind w:firstLineChars="0"/>
        <w:jc w:val="left"/>
        <w:rPr>
          <w:rFonts w:ascii="宋体" w:eastAsia="宋体" w:hAnsi="宋体" w:cs="宋体"/>
          <w:b/>
          <w:color w:val="363636"/>
          <w:kern w:val="0"/>
          <w:sz w:val="32"/>
          <w:szCs w:val="32"/>
        </w:rPr>
      </w:pPr>
      <w:r w:rsidRPr="0063470D">
        <w:rPr>
          <w:rFonts w:ascii="宋体" w:eastAsia="宋体" w:hAnsi="宋体" w:cs="宋体" w:hint="eastAsia"/>
          <w:b/>
          <w:color w:val="363636"/>
          <w:kern w:val="0"/>
          <w:sz w:val="32"/>
          <w:szCs w:val="32"/>
        </w:rPr>
        <w:t>总则</w:t>
      </w:r>
    </w:p>
    <w:p w:rsidR="00DE594C" w:rsidRDefault="00DE594C" w:rsidP="00C241DC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第一条</w:t>
      </w:r>
      <w:r w:rsid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为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响应国家创新驱动发展战略，促进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我校与世界知名高校开展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高水平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科研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合作，</w:t>
      </w:r>
      <w:r w:rsidR="00270A3E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培育高水平联合科研</w:t>
      </w:r>
      <w:r w:rsidR="00386BF8" w:rsidRPr="00386BF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平台，全面提升我校国际交流的层次与质量，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实施</w:t>
      </w:r>
      <w:r w:rsidRPr="0063470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“武汉大学</w:t>
      </w:r>
      <w:r w:rsidR="009E3AEE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中外联合科研平台</w:t>
      </w:r>
      <w:r w:rsidR="00270A3E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种子</w:t>
      </w:r>
      <w:r w:rsidR="005602A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 w:rsidRPr="0063470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”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制定本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意见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465807" w:rsidRDefault="00DE594C" w:rsidP="00C241DC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第二条 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中外联合科研平台是指与国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（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境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）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外高校或科研机构合作建立的虚体或实体性科研机构，如中心、基地、研究院、联合实验室等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，是学校</w:t>
      </w:r>
      <w:r w:rsidR="00465807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服务国家重大战略、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组织高水平科学研究、培养和集聚创新人才、开展学术合作交流的重要基地</w:t>
      </w:r>
      <w:r w:rsidR="004F4A58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6B1FB6" w:rsidRDefault="00465807" w:rsidP="006B1FB6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第三条 </w:t>
      </w:r>
      <w:r w:rsidR="006E2A69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中外联合科研平台</w:t>
      </w:r>
      <w:r w:rsidR="005602A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种子基金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主要是</w:t>
      </w:r>
      <w:r w:rsidR="005602A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为培育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面向科学前沿，</w:t>
      </w:r>
      <w:r w:rsidR="00576793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可以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与世界一流高校或机构开展合作</w:t>
      </w:r>
      <w:r w:rsidR="00B507F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科研</w:t>
      </w:r>
      <w:r w:rsidR="00576793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的高水平平台，从而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提升学校创新能力，推动学科建设发展。</w:t>
      </w:r>
    </w:p>
    <w:p w:rsidR="006B1FB6" w:rsidRPr="00C837D4" w:rsidRDefault="006B1FB6" w:rsidP="006B1FB6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第四条 </w:t>
      </w:r>
      <w:r w:rsidR="006C1D32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鼓励与一带一路沿线国家开展创新要素对接，共建联合实验室</w:t>
      </w:r>
      <w:r w:rsidR="00CC6CAF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6C1D32" w:rsidRDefault="006C1D32" w:rsidP="00C241DC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第五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优先资助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国家重点发展的领域，如</w:t>
      </w:r>
      <w:r w:rsidR="00436D30" w:rsidRP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能源、生命、地球系统与环境、材料、</w:t>
      </w:r>
      <w:hyperlink r:id="rId7" w:tgtFrame="_blank" w:history="1">
        <w:r w:rsidR="00436D30" w:rsidRPr="00436D30">
          <w:rPr>
            <w:rFonts w:ascii="仿宋" w:eastAsia="仿宋" w:hAnsi="仿宋" w:cs="宋体" w:hint="eastAsia"/>
            <w:color w:val="363636"/>
            <w:kern w:val="0"/>
            <w:sz w:val="32"/>
            <w:szCs w:val="32"/>
          </w:rPr>
          <w:t>粒子物理</w:t>
        </w:r>
      </w:hyperlink>
      <w:r w:rsidR="00CC6CAF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和核物理、空间和天文、工程技术等。</w:t>
      </w:r>
    </w:p>
    <w:p w:rsidR="00407D71" w:rsidRDefault="006C1D32" w:rsidP="00C241DC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第六条 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实行“开放、流动、竞争”的运行机制；坚持科教融合，创新引领，定期评估，动态调整。</w:t>
      </w:r>
    </w:p>
    <w:p w:rsidR="00407D71" w:rsidRDefault="00407D71">
      <w:pPr>
        <w:widowControl/>
        <w:jc w:val="left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/>
          <w:color w:val="363636"/>
          <w:kern w:val="0"/>
          <w:sz w:val="32"/>
          <w:szCs w:val="32"/>
        </w:rPr>
        <w:br w:type="page"/>
      </w:r>
    </w:p>
    <w:p w:rsidR="00DE594C" w:rsidRDefault="00DE594C" w:rsidP="00436D30">
      <w:pPr>
        <w:widowControl/>
        <w:spacing w:line="420" w:lineRule="atLeast"/>
        <w:ind w:firstLineChars="850" w:firstLine="2731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lastRenderedPageBreak/>
        <w:t xml:space="preserve">第二章 </w:t>
      </w:r>
      <w:r w:rsidR="00B10DC1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立项与建设</w:t>
      </w:r>
    </w:p>
    <w:p w:rsidR="00676C2A" w:rsidRDefault="00F74D60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七</w:t>
      </w:r>
      <w:r w:rsidR="00DE594C" w:rsidRPr="00360015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部根据学校国际化总体规划和布局，结合经费划拨情况，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组织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学校相关职能部门每年3月定期发布立项申请通知，组织开展平台立项建设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工作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，主要包括立项申请、评审、论证、验收。</w:t>
      </w:r>
    </w:p>
    <w:p w:rsidR="00DE594C" w:rsidRDefault="00465807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八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676C2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平台立项申请的基本条件为：</w:t>
      </w:r>
    </w:p>
    <w:p w:rsidR="00676C2A" w:rsidRPr="002C337D" w:rsidRDefault="00676C2A" w:rsidP="00436D30">
      <w:pPr>
        <w:pStyle w:val="a7"/>
        <w:widowControl/>
        <w:numPr>
          <w:ilvl w:val="0"/>
          <w:numId w:val="4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研究方向和目标明确，特色鲜明。合作方在本学科内具有较大学术影响力</w:t>
      </w:r>
      <w:r w:rsidR="002C337D" w:rsidRP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；</w:t>
      </w:r>
    </w:p>
    <w:p w:rsidR="002C337D" w:rsidRDefault="002C337D" w:rsidP="00436D30">
      <w:pPr>
        <w:pStyle w:val="a7"/>
        <w:widowControl/>
        <w:numPr>
          <w:ilvl w:val="0"/>
          <w:numId w:val="4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拥有年龄与知识结构合理、富于创新、团结协作的优秀研究团队；</w:t>
      </w:r>
    </w:p>
    <w:p w:rsidR="007C04AA" w:rsidRDefault="007C04AA" w:rsidP="00436D30">
      <w:pPr>
        <w:pStyle w:val="a7"/>
        <w:widowControl/>
        <w:numPr>
          <w:ilvl w:val="0"/>
          <w:numId w:val="4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所有</w:t>
      </w:r>
      <w:r w:rsidR="00543B95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学科均可申请，依托学科应为学校优势或特色学科，或是新兴交叉学科；</w:t>
      </w:r>
    </w:p>
    <w:p w:rsidR="00543B95" w:rsidRPr="007C04AA" w:rsidRDefault="00543B95" w:rsidP="00436D30">
      <w:pPr>
        <w:pStyle w:val="a7"/>
        <w:widowControl/>
        <w:numPr>
          <w:ilvl w:val="0"/>
          <w:numId w:val="4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已成立的联合科研平台，或者已经具有良好合作基础、且初具平台雏形的联合科研也可以申请本种子基金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DE594C" w:rsidRDefault="007A17FC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九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部组织专家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组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对《中外联合科研平台</w:t>
      </w:r>
      <w:r w:rsidR="00543B95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种子基金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计划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申报书》进行评审，择优立项，在国际交流部网站上公示。</w:t>
      </w:r>
    </w:p>
    <w:p w:rsidR="00483E51" w:rsidRDefault="00483E51" w:rsidP="00483E51">
      <w:pPr>
        <w:widowControl/>
        <w:spacing w:line="420" w:lineRule="atLeast"/>
        <w:ind w:firstLineChars="200" w:firstLine="640"/>
        <w:jc w:val="left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重点支持三类联合科研平台：</w:t>
      </w:r>
    </w:p>
    <w:p w:rsidR="00483E51" w:rsidRPr="00C837D4" w:rsidRDefault="00483E51" w:rsidP="00483E51">
      <w:pPr>
        <w:pStyle w:val="a7"/>
        <w:widowControl/>
        <w:numPr>
          <w:ilvl w:val="0"/>
          <w:numId w:val="2"/>
        </w:numPr>
        <w:spacing w:line="420" w:lineRule="atLeast"/>
        <w:ind w:firstLineChars="0"/>
        <w:jc w:val="left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C837D4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与世界一流高校或学科共建的虚体或实体性合作平台，如中心、基地等；</w:t>
      </w:r>
    </w:p>
    <w:p w:rsidR="00483E51" w:rsidRDefault="00483E51" w:rsidP="00436D30">
      <w:pPr>
        <w:pStyle w:val="a7"/>
        <w:widowControl/>
        <w:numPr>
          <w:ilvl w:val="0"/>
          <w:numId w:val="2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lastRenderedPageBreak/>
        <w:t>与一带一路沿线国家开展人才培养、科学研究等活动，共建联合科研平台；</w:t>
      </w:r>
    </w:p>
    <w:p w:rsidR="00483E51" w:rsidRDefault="00483E51" w:rsidP="00436D30">
      <w:pPr>
        <w:pStyle w:val="a7"/>
        <w:widowControl/>
        <w:numPr>
          <w:ilvl w:val="0"/>
          <w:numId w:val="2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在教育部、科技部等国家部委备案的联合科研机构等。</w:t>
      </w:r>
    </w:p>
    <w:p w:rsidR="002C337D" w:rsidRDefault="00465807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十一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平台建设坚持“边建设，边运行”的原则，鼓励在一定基础上开展跨学科、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跨机构的国际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开放式</w:t>
      </w:r>
      <w:r w:rsidR="002C337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协同创新。</w:t>
      </w:r>
    </w:p>
    <w:p w:rsidR="00B87E0B" w:rsidRPr="00EC754D" w:rsidRDefault="00B87E0B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</w:p>
    <w:p w:rsidR="00B87E0B" w:rsidRPr="00B87E0B" w:rsidRDefault="00B87E0B" w:rsidP="00436D30">
      <w:pPr>
        <w:widowControl/>
        <w:spacing w:line="420" w:lineRule="atLeast"/>
        <w:ind w:firstLineChars="850" w:firstLine="2731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 xml:space="preserve">第三章 </w:t>
      </w:r>
      <w:r w:rsidRPr="00B87E0B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运行与管理</w:t>
      </w:r>
    </w:p>
    <w:p w:rsidR="00DE594C" w:rsidRDefault="00B87E0B" w:rsidP="00436D30">
      <w:pPr>
        <w:widowControl/>
        <w:spacing w:line="420" w:lineRule="atLeas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65807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平台应围绕主要研究方向和重点任务，组织团队与国外合作伙伴</w:t>
      </w:r>
      <w:r w:rsidR="007C04A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开展持续深入的科学研究，积极参与国际国内重大科技计划，产生一系列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具有国际影响力的科研成果。</w:t>
      </w:r>
    </w:p>
    <w:p w:rsidR="00B87E0B" w:rsidRDefault="00B87E0B" w:rsidP="00436D30">
      <w:pPr>
        <w:widowControl/>
        <w:spacing w:line="420" w:lineRule="atLeas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三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应注重人才培养，吸引优秀本科生参与平台国际联合科研活动，选派优秀本科生赴国境外顶尖实验室科研实习，支持研究生参与课题研究和学术交流，注重研究成果向教学内容及时转化，积极与国外科研机构联合培养创新人才，开展学生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交流和联合培养。</w:t>
      </w:r>
    </w:p>
    <w:p w:rsidR="00483E51" w:rsidRDefault="00465807" w:rsidP="00436D30">
      <w:pPr>
        <w:widowControl/>
        <w:spacing w:line="420" w:lineRule="atLeast"/>
        <w:ind w:left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四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重点支持以下活动形式：</w:t>
      </w:r>
    </w:p>
    <w:p w:rsidR="007C04AA" w:rsidRDefault="007C04AA" w:rsidP="00436D30">
      <w:pPr>
        <w:pStyle w:val="a7"/>
        <w:widowControl/>
        <w:numPr>
          <w:ilvl w:val="0"/>
          <w:numId w:val="3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双方选派教师开展互访，建立常态化联合合作机制等；</w:t>
      </w:r>
    </w:p>
    <w:p w:rsidR="00483E51" w:rsidRDefault="00291C8C" w:rsidP="00436D30">
      <w:pPr>
        <w:pStyle w:val="a7"/>
        <w:widowControl/>
        <w:numPr>
          <w:ilvl w:val="0"/>
          <w:numId w:val="3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共同申请国</w:t>
      </w:r>
      <w:r w:rsidR="007C04A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境</w:t>
      </w:r>
      <w:r w:rsidR="007C04A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外的科研课题，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共同在国际期刊上发表文章等；</w:t>
      </w:r>
    </w:p>
    <w:p w:rsidR="007C04AA" w:rsidRDefault="007C04AA" w:rsidP="00436D30">
      <w:pPr>
        <w:pStyle w:val="a7"/>
        <w:widowControl/>
        <w:numPr>
          <w:ilvl w:val="0"/>
          <w:numId w:val="3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lastRenderedPageBreak/>
        <w:t>参与国际及区域重大科研项目；</w:t>
      </w:r>
    </w:p>
    <w:p w:rsidR="00483E51" w:rsidRPr="00F74D60" w:rsidRDefault="00483E51" w:rsidP="00436D30">
      <w:pPr>
        <w:pStyle w:val="a7"/>
        <w:widowControl/>
        <w:numPr>
          <w:ilvl w:val="0"/>
          <w:numId w:val="3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召开工作坊、研讨会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等</w:t>
      </w:r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；</w:t>
      </w:r>
    </w:p>
    <w:p w:rsidR="00483E51" w:rsidRPr="00F74D60" w:rsidRDefault="00483E51" w:rsidP="00436D30">
      <w:pPr>
        <w:pStyle w:val="a7"/>
        <w:widowControl/>
        <w:numPr>
          <w:ilvl w:val="0"/>
          <w:numId w:val="3"/>
        </w:numPr>
        <w:spacing w:line="420" w:lineRule="atLeast"/>
        <w:ind w:firstLineChars="0"/>
        <w:rPr>
          <w:rFonts w:ascii="仿宋" w:eastAsia="仿宋" w:hAnsi="仿宋" w:cs="宋体"/>
          <w:color w:val="363636"/>
          <w:kern w:val="0"/>
          <w:sz w:val="32"/>
          <w:szCs w:val="32"/>
        </w:rPr>
      </w:pPr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高年级本科生进顶尖实验室实习、研究生</w:t>
      </w:r>
      <w:proofErr w:type="gramStart"/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赴合作</w:t>
      </w:r>
      <w:proofErr w:type="gramEnd"/>
      <w:r w:rsidRPr="00F74D6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方高校科研实习等。</w:t>
      </w:r>
    </w:p>
    <w:p w:rsidR="00B87E0B" w:rsidRDefault="00465807" w:rsidP="00436D30">
      <w:pPr>
        <w:widowControl/>
        <w:spacing w:line="420" w:lineRule="atLeas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五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平台在开展联合科研时，应注意知识产权的规范管理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，符合国际知识产权保护的相关条例。涉密内容应严格遵守国家相关规定。</w:t>
      </w:r>
    </w:p>
    <w:p w:rsidR="00483E51" w:rsidRPr="00B87E0B" w:rsidRDefault="00483E51" w:rsidP="00436D30">
      <w:pPr>
        <w:widowControl/>
        <w:spacing w:line="420" w:lineRule="atLeast"/>
        <w:ind w:firstLine="645"/>
        <w:rPr>
          <w:rFonts w:ascii="仿宋" w:eastAsia="仿宋" w:hAnsi="仿宋" w:cs="宋体"/>
          <w:color w:val="363636"/>
          <w:kern w:val="0"/>
          <w:sz w:val="32"/>
          <w:szCs w:val="32"/>
        </w:rPr>
      </w:pPr>
    </w:p>
    <w:p w:rsidR="00DE594C" w:rsidRPr="00F65405" w:rsidRDefault="00DE594C" w:rsidP="00436D30">
      <w:pPr>
        <w:widowControl/>
        <w:spacing w:line="420" w:lineRule="atLeast"/>
        <w:jc w:val="center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第</w:t>
      </w:r>
      <w:r w:rsidR="001250F0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四</w:t>
      </w: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 xml:space="preserve">章 </w:t>
      </w:r>
      <w:r w:rsidR="001250F0"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考核评估与调整</w:t>
      </w:r>
    </w:p>
    <w:p w:rsidR="001250F0" w:rsidRDefault="00B87E0B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国际交流部在每年</w:t>
      </w:r>
      <w:r w:rsidR="00C241DC">
        <w:rPr>
          <w:rFonts w:ascii="仿宋" w:eastAsia="仿宋" w:hAnsi="仿宋" w:cs="宋体"/>
          <w:color w:val="363636"/>
          <w:kern w:val="0"/>
          <w:sz w:val="32"/>
          <w:szCs w:val="32"/>
        </w:rPr>
        <w:t>9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月组织专家对平台进行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年中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评审，并根据各平台建设情况对经费进行动态调整，对部分发展较快的平台予以二期投入。</w:t>
      </w:r>
    </w:p>
    <w:p w:rsidR="00B87E0B" w:rsidRDefault="00465807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七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国际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交流</w:t>
      </w:r>
      <w:r w:rsidR="00B87E0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部在每年年底组织专家对平台建设情况进行评审，并反馈评审意见。</w:t>
      </w:r>
    </w:p>
    <w:p w:rsidR="001250F0" w:rsidRDefault="001250F0" w:rsidP="00436D30">
      <w:pPr>
        <w:widowControl/>
        <w:spacing w:line="420" w:lineRule="atLeast"/>
        <w:ind w:firstLineChars="800" w:firstLine="2570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第五章 经费及使用</w:t>
      </w:r>
    </w:p>
    <w:p w:rsidR="001250F0" w:rsidRDefault="00465807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八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 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平台建设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经费从学校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“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双一流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”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建设经费中列支，分两期资助：通过评审的平台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均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可获得</w:t>
      </w:r>
      <w:r w:rsidR="00291C8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一期建设经费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每年1</w:t>
      </w:r>
      <w:r w:rsidR="001250F0">
        <w:rPr>
          <w:rFonts w:ascii="仿宋" w:eastAsia="仿宋" w:hAnsi="仿宋" w:cs="宋体"/>
          <w:color w:val="363636"/>
          <w:kern w:val="0"/>
          <w:sz w:val="32"/>
          <w:szCs w:val="32"/>
        </w:rPr>
        <w:t>0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万元</w:t>
      </w:r>
      <w:r w:rsidR="00407D7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，在本年度内有效；对于发展特别优秀的平台，在年中评审后，可根据实际情况于每年9月给予二期</w:t>
      </w:r>
      <w:r w:rsidR="00436D3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资助</w:t>
      </w:r>
      <w:r w:rsidR="00483E5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DE594C" w:rsidRPr="00F65405" w:rsidRDefault="00465807" w:rsidP="00436D30">
      <w:pPr>
        <w:widowControl/>
        <w:spacing w:line="420" w:lineRule="atLeast"/>
        <w:ind w:firstLineChars="200" w:firstLine="64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第十</w:t>
      </w:r>
      <w:r w:rsidR="00EC754D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九</w:t>
      </w:r>
      <w:r w:rsidR="001250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条 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经费使用范围</w:t>
      </w:r>
      <w:r w:rsidR="00B10DC1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：</w:t>
      </w:r>
    </w:p>
    <w:p w:rsidR="00DE594C" w:rsidRPr="00CB52F0" w:rsidRDefault="00DE594C" w:rsidP="00436D30">
      <w:pPr>
        <w:widowControl/>
        <w:spacing w:line="420" w:lineRule="atLeast"/>
        <w:ind w:firstLineChars="150" w:firstLine="48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（一）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重点资助教师赴海外高校或科研机构开展合作活动，支持高年级本科生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或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研究生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赴海外高校或科研机构开展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lastRenderedPageBreak/>
        <w:t>合作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相关费用（含签证费、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往返国际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国内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旅费、公杂费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，国外住宿费、伙食费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等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）</w:t>
      </w:r>
      <w:r w:rsidR="0025507B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参照国家相关规定执行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。</w:t>
      </w:r>
    </w:p>
    <w:p w:rsidR="00DE594C" w:rsidRDefault="00DE594C" w:rsidP="00C241DC">
      <w:pPr>
        <w:widowControl/>
        <w:spacing w:line="420" w:lineRule="atLeast"/>
        <w:ind w:firstLineChars="150" w:firstLine="480"/>
        <w:rPr>
          <w:rFonts w:ascii="仿宋" w:eastAsia="仿宋" w:hAnsi="仿宋" w:cs="宋体"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（二）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邀请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合作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方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个人或团队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来我校开展合作活动的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相关费用（含在汉期间的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住宿费、生活补贴，参照</w:t>
      </w: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学校</w:t>
      </w:r>
      <w:r w:rsidRPr="00CB52F0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外国专家短期来访标准执行）。</w:t>
      </w:r>
    </w:p>
    <w:p w:rsidR="00DE594C" w:rsidRPr="00CB52F0" w:rsidRDefault="00DE594C" w:rsidP="00DE594C">
      <w:pPr>
        <w:widowControl/>
        <w:spacing w:line="420" w:lineRule="atLeast"/>
        <w:ind w:firstLineChars="150" w:firstLine="480"/>
        <w:jc w:val="left"/>
        <w:rPr>
          <w:rFonts w:ascii="仿宋" w:eastAsia="仿宋" w:hAnsi="仿宋" w:cs="宋体"/>
          <w:color w:val="363636"/>
          <w:kern w:val="0"/>
          <w:sz w:val="32"/>
          <w:szCs w:val="32"/>
        </w:rPr>
      </w:pPr>
    </w:p>
    <w:p w:rsidR="00DE594C" w:rsidRDefault="00DE594C" w:rsidP="00DE594C">
      <w:pPr>
        <w:widowControl/>
        <w:spacing w:line="420" w:lineRule="atLeast"/>
        <w:ind w:firstLineChars="800" w:firstLine="2560"/>
        <w:jc w:val="left"/>
        <w:rPr>
          <w:rFonts w:ascii="宋体" w:eastAsia="宋体" w:hAnsi="宋体" w:cs="宋体"/>
          <w:b/>
          <w:bCs/>
          <w:color w:val="36363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bCs/>
          <w:color w:val="363636"/>
          <w:kern w:val="0"/>
          <w:sz w:val="32"/>
          <w:szCs w:val="32"/>
        </w:rPr>
        <w:t>第五章 附 则</w:t>
      </w:r>
    </w:p>
    <w:p w:rsidR="006150B3" w:rsidRPr="00DE594C" w:rsidRDefault="001F7FDF" w:rsidP="00465807">
      <w:pPr>
        <w:widowControl/>
        <w:spacing w:line="420" w:lineRule="atLeast"/>
        <w:ind w:firstLineChars="200" w:firstLine="640"/>
        <w:jc w:val="left"/>
      </w:pPr>
      <w:r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第二十</w:t>
      </w:r>
      <w:r w:rsidR="00DE594C" w:rsidRPr="00A7506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条   本</w:t>
      </w:r>
      <w:r w:rsidR="00C241D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实施意见</w:t>
      </w:r>
      <w:r w:rsidR="00DE594C" w:rsidRPr="00A7506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由国际交流部</w:t>
      </w:r>
      <w:r w:rsidR="00DE594C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制定并</w:t>
      </w:r>
      <w:r w:rsidR="00DE594C" w:rsidRPr="00A7506A">
        <w:rPr>
          <w:rFonts w:ascii="仿宋" w:eastAsia="仿宋" w:hAnsi="仿宋" w:cs="宋体" w:hint="eastAsia"/>
          <w:color w:val="363636"/>
          <w:kern w:val="0"/>
          <w:sz w:val="32"/>
          <w:szCs w:val="32"/>
        </w:rPr>
        <w:t>负责解释。</w:t>
      </w:r>
    </w:p>
    <w:sectPr w:rsidR="006150B3" w:rsidRPr="00DE594C" w:rsidSect="008F75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C2" w:rsidRDefault="008D29C2" w:rsidP="00DE594C">
      <w:r>
        <w:separator/>
      </w:r>
    </w:p>
  </w:endnote>
  <w:endnote w:type="continuationSeparator" w:id="0">
    <w:p w:rsidR="008D29C2" w:rsidRDefault="008D29C2" w:rsidP="00DE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901001"/>
      <w:docPartObj>
        <w:docPartGallery w:val="Page Numbers (Bottom of Page)"/>
        <w:docPartUnique/>
      </w:docPartObj>
    </w:sdtPr>
    <w:sdtEndPr/>
    <w:sdtContent>
      <w:p w:rsidR="000E6393" w:rsidRDefault="0019106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D71" w:rsidRPr="00407D7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0E6393" w:rsidRDefault="008D2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C2" w:rsidRDefault="008D29C2" w:rsidP="00DE594C">
      <w:r>
        <w:separator/>
      </w:r>
    </w:p>
  </w:footnote>
  <w:footnote w:type="continuationSeparator" w:id="0">
    <w:p w:rsidR="008D29C2" w:rsidRDefault="008D29C2" w:rsidP="00DE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286"/>
    <w:multiLevelType w:val="hybridMultilevel"/>
    <w:tmpl w:val="C37E6FFC"/>
    <w:lvl w:ilvl="0" w:tplc="0C162C7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5C62CAB"/>
    <w:multiLevelType w:val="hybridMultilevel"/>
    <w:tmpl w:val="B6D0E00C"/>
    <w:lvl w:ilvl="0" w:tplc="28104D24">
      <w:start w:val="1"/>
      <w:numFmt w:val="japaneseCounting"/>
      <w:lvlText w:val="第%1章"/>
      <w:lvlJc w:val="left"/>
      <w:pPr>
        <w:ind w:left="396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29" w:hanging="420"/>
      </w:pPr>
    </w:lvl>
    <w:lvl w:ilvl="2" w:tplc="0409001B" w:tentative="1">
      <w:start w:val="1"/>
      <w:numFmt w:val="lowerRoman"/>
      <w:lvlText w:val="%3."/>
      <w:lvlJc w:val="right"/>
      <w:pPr>
        <w:ind w:left="4149" w:hanging="420"/>
      </w:pPr>
    </w:lvl>
    <w:lvl w:ilvl="3" w:tplc="0409000F" w:tentative="1">
      <w:start w:val="1"/>
      <w:numFmt w:val="decimal"/>
      <w:lvlText w:val="%4."/>
      <w:lvlJc w:val="left"/>
      <w:pPr>
        <w:ind w:left="4569" w:hanging="420"/>
      </w:pPr>
    </w:lvl>
    <w:lvl w:ilvl="4" w:tplc="04090019" w:tentative="1">
      <w:start w:val="1"/>
      <w:numFmt w:val="lowerLetter"/>
      <w:lvlText w:val="%5)"/>
      <w:lvlJc w:val="left"/>
      <w:pPr>
        <w:ind w:left="4989" w:hanging="420"/>
      </w:pPr>
    </w:lvl>
    <w:lvl w:ilvl="5" w:tplc="0409001B" w:tentative="1">
      <w:start w:val="1"/>
      <w:numFmt w:val="lowerRoman"/>
      <w:lvlText w:val="%6."/>
      <w:lvlJc w:val="right"/>
      <w:pPr>
        <w:ind w:left="5409" w:hanging="420"/>
      </w:pPr>
    </w:lvl>
    <w:lvl w:ilvl="6" w:tplc="0409000F" w:tentative="1">
      <w:start w:val="1"/>
      <w:numFmt w:val="decimal"/>
      <w:lvlText w:val="%7."/>
      <w:lvlJc w:val="left"/>
      <w:pPr>
        <w:ind w:left="5829" w:hanging="420"/>
      </w:pPr>
    </w:lvl>
    <w:lvl w:ilvl="7" w:tplc="04090019" w:tentative="1">
      <w:start w:val="1"/>
      <w:numFmt w:val="lowerLetter"/>
      <w:lvlText w:val="%8)"/>
      <w:lvlJc w:val="left"/>
      <w:pPr>
        <w:ind w:left="6249" w:hanging="420"/>
      </w:pPr>
    </w:lvl>
    <w:lvl w:ilvl="8" w:tplc="0409001B" w:tentative="1">
      <w:start w:val="1"/>
      <w:numFmt w:val="lowerRoman"/>
      <w:lvlText w:val="%9."/>
      <w:lvlJc w:val="right"/>
      <w:pPr>
        <w:ind w:left="6669" w:hanging="420"/>
      </w:pPr>
    </w:lvl>
  </w:abstractNum>
  <w:abstractNum w:abstractNumId="2" w15:restartNumberingAfterBreak="0">
    <w:nsid w:val="4F3A38C2"/>
    <w:multiLevelType w:val="hybridMultilevel"/>
    <w:tmpl w:val="5E3233B0"/>
    <w:lvl w:ilvl="0" w:tplc="C6EAA20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D853648"/>
    <w:multiLevelType w:val="hybridMultilevel"/>
    <w:tmpl w:val="B3D0D760"/>
    <w:lvl w:ilvl="0" w:tplc="BD4EF5E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4C"/>
    <w:rsid w:val="000F16B8"/>
    <w:rsid w:val="001250F0"/>
    <w:rsid w:val="001332B9"/>
    <w:rsid w:val="001568DB"/>
    <w:rsid w:val="00191066"/>
    <w:rsid w:val="001F7FDF"/>
    <w:rsid w:val="0025507B"/>
    <w:rsid w:val="00256826"/>
    <w:rsid w:val="00265CBC"/>
    <w:rsid w:val="00270A3E"/>
    <w:rsid w:val="00291C8C"/>
    <w:rsid w:val="002A1376"/>
    <w:rsid w:val="002C337D"/>
    <w:rsid w:val="00386BF8"/>
    <w:rsid w:val="003D5651"/>
    <w:rsid w:val="00407D71"/>
    <w:rsid w:val="00436D30"/>
    <w:rsid w:val="00465807"/>
    <w:rsid w:val="00483E51"/>
    <w:rsid w:val="00497139"/>
    <w:rsid w:val="004C2EB2"/>
    <w:rsid w:val="004F4A58"/>
    <w:rsid w:val="00501F80"/>
    <w:rsid w:val="00543B95"/>
    <w:rsid w:val="005602AB"/>
    <w:rsid w:val="00576793"/>
    <w:rsid w:val="006150B3"/>
    <w:rsid w:val="00676C2A"/>
    <w:rsid w:val="006B1FB6"/>
    <w:rsid w:val="006C1D32"/>
    <w:rsid w:val="006E2A69"/>
    <w:rsid w:val="007A17FC"/>
    <w:rsid w:val="007C04AA"/>
    <w:rsid w:val="00826441"/>
    <w:rsid w:val="008D29C2"/>
    <w:rsid w:val="009032E6"/>
    <w:rsid w:val="00930011"/>
    <w:rsid w:val="0095710E"/>
    <w:rsid w:val="009A328B"/>
    <w:rsid w:val="009E3AEE"/>
    <w:rsid w:val="00A33D0D"/>
    <w:rsid w:val="00AE33D4"/>
    <w:rsid w:val="00B10DC1"/>
    <w:rsid w:val="00B507FB"/>
    <w:rsid w:val="00B87E0B"/>
    <w:rsid w:val="00BA717A"/>
    <w:rsid w:val="00C241DC"/>
    <w:rsid w:val="00C324FC"/>
    <w:rsid w:val="00C837D4"/>
    <w:rsid w:val="00CC6CAF"/>
    <w:rsid w:val="00CD6B79"/>
    <w:rsid w:val="00CE5480"/>
    <w:rsid w:val="00D337C8"/>
    <w:rsid w:val="00DE594C"/>
    <w:rsid w:val="00E9096B"/>
    <w:rsid w:val="00EB357D"/>
    <w:rsid w:val="00EC754D"/>
    <w:rsid w:val="00ED02AF"/>
    <w:rsid w:val="00F74D60"/>
    <w:rsid w:val="00F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38B51"/>
  <w15:docId w15:val="{5046D7B8-C8A5-4CF8-AA07-84144AFC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94C"/>
    <w:rPr>
      <w:sz w:val="18"/>
      <w:szCs w:val="18"/>
    </w:rPr>
  </w:style>
  <w:style w:type="paragraph" w:styleId="a7">
    <w:name w:val="List Paragraph"/>
    <w:basedOn w:val="a"/>
    <w:uiPriority w:val="34"/>
    <w:qFormat/>
    <w:rsid w:val="00DE594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C2E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2EB2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36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7%B2%92%E5%AD%90%E7%89%A9%E7%90%86&amp;tn=SE_PcZhidaonwhc_ngpagmjz&amp;rsv_dl=gh_pc_zhi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章臣</dc:creator>
  <cp:keywords/>
  <dc:description/>
  <cp:lastModifiedBy>刘 晓黎</cp:lastModifiedBy>
  <cp:revision>57</cp:revision>
  <cp:lastPrinted>2019-04-11T01:34:00Z</cp:lastPrinted>
  <dcterms:created xsi:type="dcterms:W3CDTF">2019-04-09T08:11:00Z</dcterms:created>
  <dcterms:modified xsi:type="dcterms:W3CDTF">2019-04-11T08:44:00Z</dcterms:modified>
</cp:coreProperties>
</file>